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5C50FB" w14:textId="007794D1" w:rsidR="00201AC2" w:rsidRPr="001A40E2" w:rsidRDefault="00DD2A65" w:rsidP="00201AC2">
      <w:pPr>
        <w:spacing w:after="180"/>
        <w:rPr>
          <w:b/>
          <w:sz w:val="44"/>
          <w:szCs w:val="44"/>
        </w:rPr>
      </w:pPr>
      <w:r>
        <w:rPr>
          <w:b/>
          <w:sz w:val="44"/>
          <w:szCs w:val="44"/>
        </w:rPr>
        <w:t>Purple crystal</w:t>
      </w:r>
    </w:p>
    <w:p w14:paraId="279B7112" w14:textId="77777777" w:rsidR="00201AC2" w:rsidRDefault="00201AC2" w:rsidP="00201AC2">
      <w:pPr>
        <w:spacing w:after="180"/>
      </w:pPr>
    </w:p>
    <w:p w14:paraId="65335B85" w14:textId="77777777" w:rsidR="00DD2A65" w:rsidRPr="00DD2A65" w:rsidRDefault="00DD2A65" w:rsidP="00DD2A65">
      <w:pPr>
        <w:spacing w:after="180"/>
      </w:pPr>
      <w:r w:rsidRPr="00DD2A65">
        <w:t xml:space="preserve">A crystal of a purple substance is placed in the centre of a petri dish containing water. </w:t>
      </w:r>
    </w:p>
    <w:p w14:paraId="7E4AE670" w14:textId="77777777" w:rsidR="00DD2A65" w:rsidRPr="00DD2A65" w:rsidRDefault="00DD2A65" w:rsidP="00DD2A65">
      <w:pPr>
        <w:spacing w:after="180"/>
      </w:pPr>
      <w:r w:rsidRPr="00DD2A65">
        <w:t>The purple substance is soluble.</w:t>
      </w:r>
    </w:p>
    <w:p w14:paraId="1C27B567" w14:textId="598CCFF7" w:rsidR="00AA15DC" w:rsidRDefault="00DD2A65" w:rsidP="00DD2A65">
      <w:pPr>
        <w:spacing w:after="180"/>
      </w:pPr>
      <w:r w:rsidRPr="00DD2A65">
        <w:t>The water is not stirred</w:t>
      </w:r>
      <w:r w:rsidR="00AA15DC">
        <w:t>. The experiment is left and not touched.</w:t>
      </w:r>
    </w:p>
    <w:p w14:paraId="1AF0DE09" w14:textId="7E525310" w:rsidR="00AA15DC" w:rsidRDefault="00AA15DC" w:rsidP="00DD2A65">
      <w:pPr>
        <w:spacing w:after="180"/>
      </w:pPr>
      <w:r>
        <w:t>What would you expect to observe the next day?</w:t>
      </w:r>
    </w:p>
    <w:p w14:paraId="548753FB" w14:textId="77777777" w:rsidR="00AA15DC" w:rsidRDefault="00AA15DC" w:rsidP="00DD2A65">
      <w:pPr>
        <w:spacing w:after="180"/>
      </w:pPr>
    </w:p>
    <w:p w14:paraId="6679008F" w14:textId="41938CA4" w:rsidR="00DD2A65" w:rsidRDefault="008618BC" w:rsidP="00DD2A65">
      <w:pPr>
        <w:spacing w:after="180"/>
      </w:pPr>
      <w:r>
        <w:t>T</w:t>
      </w:r>
      <w:r w:rsidR="00DD2A65" w:rsidRPr="00960605">
        <w:t>ick</w:t>
      </w:r>
      <w:r>
        <w:t xml:space="preserve"> a</w:t>
      </w:r>
      <w:r w:rsidR="00DD2A65" w:rsidRPr="00960605">
        <w:t xml:space="preserve"> box to show how confident you are that </w:t>
      </w:r>
      <w:r>
        <w:t>each</w:t>
      </w:r>
      <w:r w:rsidR="00DD2A65" w:rsidRPr="00960605">
        <w:t xml:space="preserve"> statement is right or wrong.</w:t>
      </w:r>
    </w:p>
    <w:p w14:paraId="4B175859" w14:textId="77777777" w:rsidR="00DD2A65" w:rsidRDefault="00DD2A65" w:rsidP="00DD2A65">
      <w:pPr>
        <w:spacing w:after="180"/>
      </w:pPr>
    </w:p>
    <w:tbl>
      <w:tblPr>
        <w:tblStyle w:val="TableGrid"/>
        <w:tblW w:w="0" w:type="auto"/>
        <w:tblLook w:val="04A0" w:firstRow="1" w:lastRow="0" w:firstColumn="1" w:lastColumn="0" w:noHBand="0" w:noVBand="1"/>
      </w:tblPr>
      <w:tblGrid>
        <w:gridCol w:w="3539"/>
        <w:gridCol w:w="1134"/>
        <w:gridCol w:w="1134"/>
        <w:gridCol w:w="1134"/>
        <w:gridCol w:w="1134"/>
      </w:tblGrid>
      <w:tr w:rsidR="00DD2A65" w14:paraId="70490D1B" w14:textId="77777777" w:rsidTr="003D607A">
        <w:tc>
          <w:tcPr>
            <w:tcW w:w="3539" w:type="dxa"/>
            <w:tcBorders>
              <w:top w:val="nil"/>
              <w:left w:val="nil"/>
              <w:bottom w:val="single" w:sz="4" w:space="0" w:color="auto"/>
              <w:right w:val="single" w:sz="4" w:space="0" w:color="auto"/>
            </w:tcBorders>
          </w:tcPr>
          <w:p w14:paraId="59A52579" w14:textId="77777777" w:rsidR="00DD2A65" w:rsidRDefault="00DD2A65" w:rsidP="003D607A">
            <w:pPr>
              <w:spacing w:after="180"/>
            </w:pPr>
          </w:p>
        </w:tc>
        <w:tc>
          <w:tcPr>
            <w:tcW w:w="1134" w:type="dxa"/>
            <w:tcBorders>
              <w:left w:val="single" w:sz="4" w:space="0" w:color="auto"/>
            </w:tcBorders>
          </w:tcPr>
          <w:p w14:paraId="2F9B7650" w14:textId="77777777" w:rsidR="00DD2A65" w:rsidRDefault="00DD2A65" w:rsidP="003D607A">
            <w:pPr>
              <w:spacing w:after="180"/>
            </w:pPr>
            <w:r>
              <w:t xml:space="preserve">I am </w:t>
            </w:r>
            <w:r w:rsidRPr="00960605">
              <w:rPr>
                <w:b/>
              </w:rPr>
              <w:t xml:space="preserve">sure </w:t>
            </w:r>
            <w:r>
              <w:t>this is right</w:t>
            </w:r>
          </w:p>
        </w:tc>
        <w:tc>
          <w:tcPr>
            <w:tcW w:w="1134" w:type="dxa"/>
          </w:tcPr>
          <w:p w14:paraId="7A16AF5B" w14:textId="77777777" w:rsidR="00DD2A65" w:rsidRDefault="00DD2A65" w:rsidP="003D607A">
            <w:pPr>
              <w:spacing w:after="180"/>
            </w:pPr>
            <w:r>
              <w:t>I think this is right.</w:t>
            </w:r>
          </w:p>
        </w:tc>
        <w:tc>
          <w:tcPr>
            <w:tcW w:w="1134" w:type="dxa"/>
          </w:tcPr>
          <w:p w14:paraId="53521D29" w14:textId="77777777" w:rsidR="00DD2A65" w:rsidRDefault="00DD2A65" w:rsidP="003D607A">
            <w:pPr>
              <w:spacing w:after="180"/>
            </w:pPr>
            <w:r>
              <w:t>I think this is wrong.</w:t>
            </w:r>
          </w:p>
        </w:tc>
        <w:tc>
          <w:tcPr>
            <w:tcW w:w="1134" w:type="dxa"/>
          </w:tcPr>
          <w:p w14:paraId="10358557" w14:textId="77777777" w:rsidR="00DD2A65" w:rsidRDefault="00DD2A65" w:rsidP="003D607A">
            <w:pPr>
              <w:spacing w:after="180"/>
            </w:pPr>
            <w:r>
              <w:t xml:space="preserve">I am </w:t>
            </w:r>
            <w:r w:rsidRPr="00960605">
              <w:rPr>
                <w:b/>
              </w:rPr>
              <w:t>sure</w:t>
            </w:r>
            <w:r>
              <w:t xml:space="preserve"> this is wrong.</w:t>
            </w:r>
          </w:p>
        </w:tc>
      </w:tr>
      <w:tr w:rsidR="00DD2A65" w14:paraId="51E28DA8" w14:textId="77777777" w:rsidTr="003D607A">
        <w:tc>
          <w:tcPr>
            <w:tcW w:w="3539" w:type="dxa"/>
            <w:tcBorders>
              <w:top w:val="single" w:sz="4" w:space="0" w:color="auto"/>
            </w:tcBorders>
          </w:tcPr>
          <w:p w14:paraId="3D88AEFC" w14:textId="66ADAD4E" w:rsidR="00DD2A65" w:rsidRDefault="00DD2A65" w:rsidP="003D607A">
            <w:pPr>
              <w:spacing w:after="180"/>
            </w:pPr>
            <w:r w:rsidRPr="00960605">
              <w:rPr>
                <w:b/>
              </w:rPr>
              <w:t>A</w:t>
            </w:r>
            <w:r>
              <w:t xml:space="preserve"> </w:t>
            </w:r>
            <w:r w:rsidR="00AA15DC">
              <w:t>No change</w:t>
            </w:r>
            <w:bookmarkStart w:id="0" w:name="_GoBack"/>
            <w:bookmarkEnd w:id="0"/>
          </w:p>
        </w:tc>
        <w:tc>
          <w:tcPr>
            <w:tcW w:w="1134" w:type="dxa"/>
          </w:tcPr>
          <w:p w14:paraId="3FADBBDC" w14:textId="77777777" w:rsidR="00DD2A65" w:rsidRDefault="00DD2A65" w:rsidP="003D607A">
            <w:pPr>
              <w:spacing w:after="180"/>
            </w:pPr>
          </w:p>
        </w:tc>
        <w:tc>
          <w:tcPr>
            <w:tcW w:w="1134" w:type="dxa"/>
          </w:tcPr>
          <w:p w14:paraId="070CB740" w14:textId="77777777" w:rsidR="00DD2A65" w:rsidRDefault="00DD2A65" w:rsidP="003D607A">
            <w:pPr>
              <w:spacing w:after="180"/>
            </w:pPr>
          </w:p>
        </w:tc>
        <w:tc>
          <w:tcPr>
            <w:tcW w:w="1134" w:type="dxa"/>
          </w:tcPr>
          <w:p w14:paraId="0DDEBAF1" w14:textId="77777777" w:rsidR="00DD2A65" w:rsidRDefault="00DD2A65" w:rsidP="003D607A">
            <w:pPr>
              <w:spacing w:after="180"/>
            </w:pPr>
          </w:p>
        </w:tc>
        <w:tc>
          <w:tcPr>
            <w:tcW w:w="1134" w:type="dxa"/>
          </w:tcPr>
          <w:p w14:paraId="34B654DE" w14:textId="77777777" w:rsidR="00DD2A65" w:rsidRDefault="00DD2A65" w:rsidP="003D607A">
            <w:pPr>
              <w:spacing w:after="180"/>
            </w:pPr>
          </w:p>
        </w:tc>
      </w:tr>
      <w:tr w:rsidR="00DD2A65" w14:paraId="48C72368" w14:textId="77777777" w:rsidTr="003D607A">
        <w:tc>
          <w:tcPr>
            <w:tcW w:w="3539" w:type="dxa"/>
          </w:tcPr>
          <w:p w14:paraId="5E886C6A" w14:textId="414BBCD0" w:rsidR="00DD2A65" w:rsidRDefault="00DD2A65" w:rsidP="00A56FE7">
            <w:pPr>
              <w:spacing w:after="180"/>
            </w:pPr>
            <w:r w:rsidRPr="00960605">
              <w:rPr>
                <w:b/>
              </w:rPr>
              <w:t>B</w:t>
            </w:r>
            <w:r>
              <w:t xml:space="preserve"> </w:t>
            </w:r>
            <w:r w:rsidR="00A56FE7">
              <w:t>There would be a small circle of purple around the crystal.</w:t>
            </w:r>
          </w:p>
        </w:tc>
        <w:tc>
          <w:tcPr>
            <w:tcW w:w="1134" w:type="dxa"/>
          </w:tcPr>
          <w:p w14:paraId="32B3F7C0" w14:textId="77777777" w:rsidR="00DD2A65" w:rsidRDefault="00DD2A65" w:rsidP="003D607A">
            <w:pPr>
              <w:spacing w:after="180"/>
            </w:pPr>
          </w:p>
        </w:tc>
        <w:tc>
          <w:tcPr>
            <w:tcW w:w="1134" w:type="dxa"/>
          </w:tcPr>
          <w:p w14:paraId="3D34410A" w14:textId="77777777" w:rsidR="00DD2A65" w:rsidRDefault="00DD2A65" w:rsidP="003D607A">
            <w:pPr>
              <w:spacing w:after="180"/>
            </w:pPr>
          </w:p>
        </w:tc>
        <w:tc>
          <w:tcPr>
            <w:tcW w:w="1134" w:type="dxa"/>
          </w:tcPr>
          <w:p w14:paraId="18AFF0A1" w14:textId="77777777" w:rsidR="00DD2A65" w:rsidRDefault="00DD2A65" w:rsidP="003D607A">
            <w:pPr>
              <w:spacing w:after="180"/>
            </w:pPr>
          </w:p>
        </w:tc>
        <w:tc>
          <w:tcPr>
            <w:tcW w:w="1134" w:type="dxa"/>
          </w:tcPr>
          <w:p w14:paraId="30AF1BB8" w14:textId="77777777" w:rsidR="00DD2A65" w:rsidRDefault="00DD2A65" w:rsidP="003D607A">
            <w:pPr>
              <w:spacing w:after="180"/>
            </w:pPr>
          </w:p>
        </w:tc>
      </w:tr>
      <w:tr w:rsidR="00DD2A65" w14:paraId="2C5C38C1" w14:textId="77777777" w:rsidTr="003D607A">
        <w:tc>
          <w:tcPr>
            <w:tcW w:w="3539" w:type="dxa"/>
          </w:tcPr>
          <w:p w14:paraId="72C597B3" w14:textId="11974C9C" w:rsidR="00DD2A65" w:rsidRDefault="00DD2A65" w:rsidP="00A56FE7">
            <w:pPr>
              <w:spacing w:after="180"/>
            </w:pPr>
            <w:r w:rsidRPr="00960605">
              <w:rPr>
                <w:b/>
              </w:rPr>
              <w:t>C</w:t>
            </w:r>
            <w:r>
              <w:t xml:space="preserve"> </w:t>
            </w:r>
            <w:r w:rsidR="00A56FE7">
              <w:t>All the water would turn purple.</w:t>
            </w:r>
          </w:p>
        </w:tc>
        <w:tc>
          <w:tcPr>
            <w:tcW w:w="1134" w:type="dxa"/>
          </w:tcPr>
          <w:p w14:paraId="21599C53" w14:textId="77777777" w:rsidR="00DD2A65" w:rsidRDefault="00DD2A65" w:rsidP="003D607A">
            <w:pPr>
              <w:spacing w:after="180"/>
            </w:pPr>
          </w:p>
        </w:tc>
        <w:tc>
          <w:tcPr>
            <w:tcW w:w="1134" w:type="dxa"/>
          </w:tcPr>
          <w:p w14:paraId="05CEDE05" w14:textId="77777777" w:rsidR="00DD2A65" w:rsidRDefault="00DD2A65" w:rsidP="003D607A">
            <w:pPr>
              <w:spacing w:after="180"/>
            </w:pPr>
          </w:p>
        </w:tc>
        <w:tc>
          <w:tcPr>
            <w:tcW w:w="1134" w:type="dxa"/>
          </w:tcPr>
          <w:p w14:paraId="6C280C54" w14:textId="77777777" w:rsidR="00DD2A65" w:rsidRDefault="00DD2A65" w:rsidP="003D607A">
            <w:pPr>
              <w:spacing w:after="180"/>
            </w:pPr>
          </w:p>
        </w:tc>
        <w:tc>
          <w:tcPr>
            <w:tcW w:w="1134" w:type="dxa"/>
          </w:tcPr>
          <w:p w14:paraId="576DDA4A" w14:textId="77777777" w:rsidR="00DD2A65" w:rsidRDefault="00DD2A65" w:rsidP="003D607A">
            <w:pPr>
              <w:spacing w:after="180"/>
            </w:pPr>
          </w:p>
        </w:tc>
      </w:tr>
    </w:tbl>
    <w:p w14:paraId="68F9FEDB" w14:textId="77777777" w:rsidR="00DD2A65" w:rsidRPr="00960605" w:rsidRDefault="00DD2A65" w:rsidP="00DD2A65">
      <w:pPr>
        <w:spacing w:after="180"/>
      </w:pPr>
    </w:p>
    <w:p w14:paraId="598ABC82" w14:textId="77777777"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14:paraId="3A6EAB2E" w14:textId="440A32E3"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C42192">
        <w:rPr>
          <w:i/>
          <w:sz w:val="18"/>
          <w:szCs w:val="18"/>
        </w:rPr>
        <w:t>CPS: Particles</w:t>
      </w:r>
      <w:r w:rsidR="0031531A">
        <w:rPr>
          <w:i/>
          <w:sz w:val="18"/>
          <w:szCs w:val="18"/>
        </w:rPr>
        <w:t xml:space="preserve"> and structure</w:t>
      </w:r>
      <w:r w:rsidR="0007651D">
        <w:rPr>
          <w:i/>
          <w:sz w:val="18"/>
          <w:szCs w:val="18"/>
        </w:rPr>
        <w:t xml:space="preserve">&gt; Topic </w:t>
      </w:r>
      <w:r w:rsidR="00C42192">
        <w:rPr>
          <w:i/>
          <w:sz w:val="18"/>
          <w:szCs w:val="18"/>
        </w:rPr>
        <w:t xml:space="preserve">CPS1: </w:t>
      </w:r>
      <w:r w:rsidR="00FA062A">
        <w:rPr>
          <w:i/>
          <w:sz w:val="18"/>
          <w:szCs w:val="18"/>
        </w:rPr>
        <w:t>Substances and mixtures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C42192">
        <w:rPr>
          <w:i/>
          <w:sz w:val="18"/>
          <w:szCs w:val="18"/>
        </w:rPr>
        <w:t>CPS1.</w:t>
      </w:r>
      <w:r w:rsidR="006B6084">
        <w:rPr>
          <w:i/>
          <w:sz w:val="18"/>
          <w:szCs w:val="18"/>
        </w:rPr>
        <w:t>2</w:t>
      </w:r>
      <w:r w:rsidR="006F3279" w:rsidRPr="00CA4B46">
        <w:rPr>
          <w:i/>
          <w:sz w:val="18"/>
          <w:szCs w:val="18"/>
        </w:rPr>
        <w:t xml:space="preserve">: </w:t>
      </w:r>
      <w:r w:rsidR="00C42192">
        <w:rPr>
          <w:i/>
          <w:sz w:val="18"/>
          <w:szCs w:val="18"/>
        </w:rPr>
        <w:t>Particles in solutions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0B6B6777" w14:textId="77777777" w:rsidTr="00323334">
        <w:tc>
          <w:tcPr>
            <w:tcW w:w="12021" w:type="dxa"/>
            <w:shd w:val="clear" w:color="auto" w:fill="FABF8F" w:themeFill="accent6" w:themeFillTint="99"/>
          </w:tcPr>
          <w:p w14:paraId="42A9E964" w14:textId="67E60998"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E1480D">
              <w:rPr>
                <w:b/>
                <w:sz w:val="40"/>
                <w:szCs w:val="40"/>
              </w:rPr>
              <w:t>question</w:t>
            </w:r>
          </w:p>
        </w:tc>
      </w:tr>
      <w:tr w:rsidR="006F3279" w14:paraId="18E53765" w14:textId="77777777" w:rsidTr="00323334">
        <w:tc>
          <w:tcPr>
            <w:tcW w:w="12021" w:type="dxa"/>
            <w:shd w:val="clear" w:color="auto" w:fill="FBD4B4" w:themeFill="accent6" w:themeFillTint="66"/>
          </w:tcPr>
          <w:p w14:paraId="326CF44F" w14:textId="6307CDEF" w:rsidR="006F3279" w:rsidRPr="00CA4B46" w:rsidRDefault="00DD2A65" w:rsidP="006F3279">
            <w:pPr>
              <w:spacing w:after="60"/>
              <w:ind w:left="1304"/>
              <w:rPr>
                <w:b/>
                <w:sz w:val="40"/>
                <w:szCs w:val="40"/>
              </w:rPr>
            </w:pPr>
            <w:r>
              <w:rPr>
                <w:b/>
                <w:sz w:val="40"/>
                <w:szCs w:val="40"/>
              </w:rPr>
              <w:t>Purple crystal</w:t>
            </w:r>
          </w:p>
        </w:tc>
      </w:tr>
    </w:tbl>
    <w:p w14:paraId="2C8AD61D" w14:textId="77777777" w:rsidR="006F3279" w:rsidRPr="006F3279" w:rsidRDefault="006F3279" w:rsidP="00E172C6">
      <w:pPr>
        <w:spacing w:after="180"/>
        <w:rPr>
          <w:b/>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6C6A96D2" w14:textId="77777777" w:rsidTr="003F16F9">
        <w:trPr>
          <w:trHeight w:val="340"/>
        </w:trPr>
        <w:tc>
          <w:tcPr>
            <w:tcW w:w="2196" w:type="dxa"/>
          </w:tcPr>
          <w:p w14:paraId="6544E7C1" w14:textId="41B898A0" w:rsidR="003F16F9" w:rsidRDefault="003F16F9" w:rsidP="00B75483">
            <w:pPr>
              <w:spacing w:before="60" w:after="60"/>
            </w:pPr>
            <w:r>
              <w:t xml:space="preserve">Learning </w:t>
            </w:r>
            <w:r w:rsidR="00E1480D">
              <w:t>focus</w:t>
            </w:r>
            <w:r>
              <w:t>:</w:t>
            </w:r>
          </w:p>
        </w:tc>
        <w:tc>
          <w:tcPr>
            <w:tcW w:w="6820" w:type="dxa"/>
          </w:tcPr>
          <w:p w14:paraId="1F7BD36C" w14:textId="77777777" w:rsidR="003F16F9" w:rsidRDefault="00C42192" w:rsidP="0007651D">
            <w:pPr>
              <w:spacing w:before="60" w:after="60"/>
            </w:pPr>
            <w:r w:rsidRPr="00C42192">
              <w:t>Understand how a particle model of matter can be used to describe and explain solutions.</w:t>
            </w:r>
          </w:p>
        </w:tc>
      </w:tr>
      <w:tr w:rsidR="003F16F9" w14:paraId="7A07CF82" w14:textId="77777777" w:rsidTr="003F16F9">
        <w:trPr>
          <w:trHeight w:val="340"/>
        </w:trPr>
        <w:tc>
          <w:tcPr>
            <w:tcW w:w="2196" w:type="dxa"/>
          </w:tcPr>
          <w:p w14:paraId="5028E628" w14:textId="77777777" w:rsidR="003F16F9" w:rsidRDefault="00B75483" w:rsidP="003F16F9">
            <w:pPr>
              <w:spacing w:before="60" w:after="60"/>
            </w:pPr>
            <w:r>
              <w:t>Observable learning outcome</w:t>
            </w:r>
            <w:r w:rsidR="003F16F9">
              <w:t>:</w:t>
            </w:r>
          </w:p>
        </w:tc>
        <w:tc>
          <w:tcPr>
            <w:tcW w:w="6820" w:type="dxa"/>
          </w:tcPr>
          <w:p w14:paraId="4C126DB6" w14:textId="49CEAA75" w:rsidR="003F16F9" w:rsidRPr="00A50C9C" w:rsidRDefault="00526597" w:rsidP="0007651D">
            <w:pPr>
              <w:spacing w:before="60" w:after="60"/>
              <w:rPr>
                <w:b/>
              </w:rPr>
            </w:pPr>
            <w:r w:rsidRPr="00526597">
              <w:rPr>
                <w:rFonts w:cstheme="minorHAnsi"/>
                <w:szCs w:val="20"/>
              </w:rPr>
              <w:t>Explain why stirring is not necessary for dissolving.</w:t>
            </w:r>
          </w:p>
        </w:tc>
      </w:tr>
      <w:tr w:rsidR="000505CA" w14:paraId="0F7F6D4B" w14:textId="77777777" w:rsidTr="003F16F9">
        <w:trPr>
          <w:trHeight w:val="340"/>
        </w:trPr>
        <w:tc>
          <w:tcPr>
            <w:tcW w:w="2196" w:type="dxa"/>
          </w:tcPr>
          <w:p w14:paraId="18B099C0" w14:textId="77777777" w:rsidR="000505CA" w:rsidRDefault="00C54711" w:rsidP="000505CA">
            <w:pPr>
              <w:spacing w:before="60" w:after="60"/>
            </w:pPr>
            <w:r>
              <w:t>Item</w:t>
            </w:r>
            <w:r w:rsidR="000505CA">
              <w:t xml:space="preserve"> type:</w:t>
            </w:r>
          </w:p>
        </w:tc>
        <w:tc>
          <w:tcPr>
            <w:tcW w:w="6820" w:type="dxa"/>
          </w:tcPr>
          <w:p w14:paraId="4A072767" w14:textId="1CE3D51D" w:rsidR="000505CA" w:rsidRDefault="00E1480D" w:rsidP="0021607B">
            <w:pPr>
              <w:spacing w:before="60" w:after="60"/>
            </w:pPr>
            <w:r>
              <w:t>c</w:t>
            </w:r>
            <w:r w:rsidR="00526597">
              <w:t>onfidence grid</w:t>
            </w:r>
          </w:p>
        </w:tc>
      </w:tr>
      <w:tr w:rsidR="000505CA" w14:paraId="6E2AEE08" w14:textId="77777777" w:rsidTr="003F16F9">
        <w:trPr>
          <w:trHeight w:val="340"/>
        </w:trPr>
        <w:tc>
          <w:tcPr>
            <w:tcW w:w="2196" w:type="dxa"/>
          </w:tcPr>
          <w:p w14:paraId="269085AD" w14:textId="77777777" w:rsidR="000505CA" w:rsidRDefault="000505CA" w:rsidP="000505CA">
            <w:pPr>
              <w:spacing w:before="60" w:after="60"/>
            </w:pPr>
            <w:r>
              <w:t>Key words:</w:t>
            </w:r>
          </w:p>
        </w:tc>
        <w:tc>
          <w:tcPr>
            <w:tcW w:w="6820" w:type="dxa"/>
            <w:tcBorders>
              <w:bottom w:val="dotted" w:sz="4" w:space="0" w:color="auto"/>
            </w:tcBorders>
          </w:tcPr>
          <w:p w14:paraId="116516DE" w14:textId="7F34D91F" w:rsidR="000505CA" w:rsidRDefault="006C571F" w:rsidP="000505CA">
            <w:pPr>
              <w:spacing w:before="60" w:after="60"/>
            </w:pPr>
            <w:r w:rsidRPr="006C571F">
              <w:t>dissolve, particle, diffusion</w:t>
            </w:r>
          </w:p>
        </w:tc>
      </w:tr>
    </w:tbl>
    <w:p w14:paraId="49DC5604" w14:textId="77777777" w:rsidR="00F72ECC" w:rsidRDefault="00F72ECC" w:rsidP="00F72ECC"/>
    <w:p w14:paraId="24DCBB42"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7E39530B" w14:textId="47787F59" w:rsidR="006C571F" w:rsidRDefault="006C571F" w:rsidP="006C571F">
      <w:pPr>
        <w:spacing w:after="180"/>
      </w:pPr>
      <w:r>
        <w:t>Johnstone (1991) explains the difficulties that many students face in understanding science as the degree of ‘multilevel’ though</w:t>
      </w:r>
      <w:r w:rsidR="008618BC">
        <w:t>t</w:t>
      </w:r>
      <w:r>
        <w:t xml:space="preserve"> required. In chemistry students are frequently required to think about very different types of thing all at once.</w:t>
      </w:r>
    </w:p>
    <w:p w14:paraId="7833C088" w14:textId="77777777" w:rsidR="006C571F" w:rsidRDefault="006C571F" w:rsidP="006C571F">
      <w:pPr>
        <w:spacing w:after="180"/>
      </w:pPr>
      <w:r>
        <w:t>Johnstone presented this in the form of a triangle:</w:t>
      </w:r>
    </w:p>
    <w:p w14:paraId="746E2534" w14:textId="77777777" w:rsidR="006C571F" w:rsidRDefault="006C571F" w:rsidP="006C571F">
      <w:pPr>
        <w:spacing w:after="180"/>
      </w:pPr>
    </w:p>
    <w:p w14:paraId="40962936" w14:textId="77777777" w:rsidR="006C571F" w:rsidRDefault="006C571F" w:rsidP="006C571F">
      <w:pPr>
        <w:spacing w:after="180"/>
      </w:pPr>
      <w:r>
        <w:rPr>
          <w:noProof/>
        </w:rPr>
        <w:drawing>
          <wp:inline distT="0" distB="0" distL="0" distR="0" wp14:anchorId="4EFE9EDD" wp14:editId="19215583">
            <wp:extent cx="1908184" cy="1323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Ohnstone's traingl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12610" cy="1327046"/>
                    </a:xfrm>
                    <a:prstGeom prst="rect">
                      <a:avLst/>
                    </a:prstGeom>
                  </pic:spPr>
                </pic:pic>
              </a:graphicData>
            </a:graphic>
          </wp:inline>
        </w:drawing>
      </w:r>
    </w:p>
    <w:p w14:paraId="5BB7D70E" w14:textId="77777777" w:rsidR="006C571F" w:rsidRDefault="006C571F" w:rsidP="006C571F">
      <w:pPr>
        <w:spacing w:after="180"/>
        <w:rPr>
          <w:i/>
        </w:rPr>
      </w:pPr>
      <w:r w:rsidRPr="00682D3A">
        <w:rPr>
          <w:i/>
        </w:rPr>
        <w:t>(after Johnstone, 1991, p78)</w:t>
      </w:r>
    </w:p>
    <w:p w14:paraId="03C38294" w14:textId="74BA5F4E" w:rsidR="006C571F" w:rsidRPr="00E1480D" w:rsidRDefault="006C571F" w:rsidP="00026DEC">
      <w:pPr>
        <w:spacing w:after="180"/>
      </w:pPr>
      <w:r>
        <w:t>In addition to a static particle representation</w:t>
      </w:r>
      <w:r w:rsidR="008618BC">
        <w:t>,</w:t>
      </w:r>
      <w:r>
        <w:t xml:space="preserve"> students need to appreciate the intrinsic movement of particles in liquid which exists without the need for stirring.</w:t>
      </w:r>
    </w:p>
    <w:p w14:paraId="21CFA987" w14:textId="42B0F0F1" w:rsidR="007A748B" w:rsidRPr="00323334" w:rsidRDefault="007A748B" w:rsidP="00026DEC">
      <w:pPr>
        <w:spacing w:after="180"/>
        <w:rPr>
          <w:b/>
          <w:color w:val="E36C0A" w:themeColor="accent6" w:themeShade="BF"/>
          <w:sz w:val="24"/>
        </w:rPr>
      </w:pPr>
      <w:r w:rsidRPr="00323334">
        <w:rPr>
          <w:b/>
          <w:color w:val="E36C0A" w:themeColor="accent6" w:themeShade="BF"/>
          <w:sz w:val="24"/>
        </w:rPr>
        <w:t>Ways to use this</w:t>
      </w:r>
      <w:r w:rsidR="00E1480D">
        <w:rPr>
          <w:b/>
          <w:color w:val="E36C0A" w:themeColor="accent6" w:themeShade="BF"/>
          <w:sz w:val="24"/>
        </w:rPr>
        <w:t xml:space="preserve"> question</w:t>
      </w:r>
    </w:p>
    <w:p w14:paraId="2F6D0D2A" w14:textId="2CE73BB5" w:rsidR="00E1480D" w:rsidRPr="00816065" w:rsidRDefault="00E1480D" w:rsidP="00E1480D">
      <w:pPr>
        <w:rPr>
          <w:rFonts w:cstheme="minorHAnsi"/>
        </w:rPr>
      </w:pPr>
      <w:r w:rsidRPr="00816065">
        <w:rPr>
          <w:rFonts w:cstheme="minorHAnsi"/>
        </w:rPr>
        <w:t xml:space="preserve">Students should complete the confidence grid individually. This could be a pencil and paper exercise, or you could use an electronic ‘voting system’ or mini white boards and the PowerPoint presentation.  </w:t>
      </w:r>
    </w:p>
    <w:p w14:paraId="059EC885" w14:textId="377F5C00" w:rsidR="00E1480D" w:rsidRDefault="00E1480D" w:rsidP="00E1480D">
      <w:pPr>
        <w:spacing w:after="180"/>
        <w:rPr>
          <w:rFonts w:cstheme="minorHAnsi"/>
        </w:rPr>
      </w:pPr>
      <w:r w:rsidRPr="00816065">
        <w:rPr>
          <w:rFonts w:cstheme="minorHAnsi"/>
        </w:rP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14:paraId="2BF942FE" w14:textId="7F81ECDB" w:rsidR="00E1480D" w:rsidRPr="00E1480D" w:rsidRDefault="00E1480D" w:rsidP="00E1480D">
      <w:pPr>
        <w:spacing w:after="180"/>
        <w:rPr>
          <w:rFonts w:cstheme="minorHAnsi"/>
          <w:i/>
        </w:rPr>
      </w:pPr>
      <w:r w:rsidRPr="00E1480D">
        <w:rPr>
          <w:rFonts w:cstheme="minorHAnsi"/>
          <w:i/>
        </w:rPr>
        <w:t>Differentiation</w:t>
      </w:r>
    </w:p>
    <w:p w14:paraId="36689495" w14:textId="2575D02A" w:rsidR="00E1480D" w:rsidRPr="00816065" w:rsidRDefault="00E1480D" w:rsidP="00E1480D">
      <w:pPr>
        <w:spacing w:after="180"/>
        <w:rPr>
          <w:rFonts w:cstheme="minorHAnsi"/>
        </w:rPr>
      </w:pPr>
      <w:r>
        <w:rPr>
          <w:rFonts w:cstheme="minorHAnsi"/>
        </w:rPr>
        <w:t>It may be helpful to some students to be shown the set</w:t>
      </w:r>
      <w:r w:rsidR="00AA15DC">
        <w:rPr>
          <w:rFonts w:cstheme="minorHAnsi"/>
        </w:rPr>
        <w:t>-</w:t>
      </w:r>
      <w:r>
        <w:rPr>
          <w:rFonts w:cstheme="minorHAnsi"/>
        </w:rPr>
        <w:t>up of the experiment.</w:t>
      </w:r>
    </w:p>
    <w:p w14:paraId="2973F22A"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601E08BA" w14:textId="49C436E2" w:rsidR="00BF6C8A" w:rsidRDefault="006C571F" w:rsidP="00BF6C8A">
      <w:pPr>
        <w:spacing w:after="180"/>
      </w:pPr>
      <w:r>
        <w:t>The expected answer is that all the water turns purple as the crystal dissolves.</w:t>
      </w:r>
    </w:p>
    <w:p w14:paraId="7B41AEBE"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21D9B3CC" w14:textId="63C3189A" w:rsidR="004F039C" w:rsidRPr="006C571F" w:rsidRDefault="006C571F" w:rsidP="006A4440">
      <w:pPr>
        <w:spacing w:after="180"/>
      </w:pPr>
      <w:r w:rsidRPr="006C571F">
        <w:t>Some students may think that the actual physical stirring of the water is necessary to ensure that particles are moving</w:t>
      </w:r>
      <w:r w:rsidR="00E1480D">
        <w:t>,</w:t>
      </w:r>
      <w:r w:rsidRPr="006C571F">
        <w:t xml:space="preserve"> and that dissolving can happen.</w:t>
      </w:r>
    </w:p>
    <w:p w14:paraId="04FBF334" w14:textId="77777777" w:rsidR="00E1480D" w:rsidRDefault="004F039C" w:rsidP="006A4440">
      <w:pPr>
        <w:spacing w:after="180"/>
      </w:pPr>
      <w:r w:rsidRPr="006C571F">
        <w:t>If students have</w:t>
      </w:r>
      <w:r w:rsidR="00E1480D">
        <w:t xml:space="preserve"> misunderstandings</w:t>
      </w:r>
      <w:r w:rsidRPr="006C571F">
        <w:t xml:space="preserve"> about </w:t>
      </w:r>
      <w:r w:rsidR="006C571F" w:rsidRPr="006C571F">
        <w:t>the intrinsic movement of particles and the diffusion process you may wish to demonstrate the experiment (using potassium manganate (VII)- wear eye protection and carry out a risk assessment).</w:t>
      </w:r>
      <w:r w:rsidRPr="006C571F">
        <w:t xml:space="preserve"> </w:t>
      </w:r>
    </w:p>
    <w:p w14:paraId="37D36DDB" w14:textId="170A661C" w:rsidR="005F1A7B" w:rsidRPr="006C571F" w:rsidRDefault="004F039C" w:rsidP="006A4440">
      <w:pPr>
        <w:spacing w:after="180"/>
      </w:pPr>
      <w:r w:rsidRPr="006C571F">
        <w:t xml:space="preserve">The following </w:t>
      </w:r>
      <w:r w:rsidR="005F1A7B" w:rsidRPr="006C571F">
        <w:t xml:space="preserve">BEST </w:t>
      </w:r>
      <w:r w:rsidR="004C5D20" w:rsidRPr="006C571F">
        <w:t xml:space="preserve">‘response </w:t>
      </w:r>
      <w:r w:rsidR="00E1480D">
        <w:t>activity</w:t>
      </w:r>
      <w:r w:rsidR="004C5D20" w:rsidRPr="006C571F">
        <w:t>’</w:t>
      </w:r>
      <w:r w:rsidR="005F1A7B" w:rsidRPr="006C571F">
        <w:t xml:space="preserve"> </w:t>
      </w:r>
      <w:r w:rsidR="004C5D20" w:rsidRPr="006C571F">
        <w:t>c</w:t>
      </w:r>
      <w:r w:rsidR="005F1A7B" w:rsidRPr="006C571F">
        <w:t xml:space="preserve">ould </w:t>
      </w:r>
      <w:r w:rsidR="004C5D20" w:rsidRPr="006C571F">
        <w:t>be used in follow-up to this diagnostic question</w:t>
      </w:r>
      <w:r w:rsidRPr="006C571F">
        <w:t>:</w:t>
      </w:r>
    </w:p>
    <w:p w14:paraId="452A2EBE" w14:textId="50ADB9C0" w:rsidR="004F039C" w:rsidRDefault="006C571F" w:rsidP="004F039C">
      <w:pPr>
        <w:pStyle w:val="ListParagraph"/>
        <w:numPr>
          <w:ilvl w:val="0"/>
          <w:numId w:val="1"/>
        </w:numPr>
        <w:spacing w:after="180"/>
      </w:pPr>
      <w:r w:rsidRPr="006C571F">
        <w:t>Blue crystals</w:t>
      </w:r>
    </w:p>
    <w:p w14:paraId="33BBECDE" w14:textId="4B9F9105" w:rsidR="00E1480D" w:rsidRPr="006C571F" w:rsidRDefault="00E1480D" w:rsidP="00E1480D">
      <w:pPr>
        <w:spacing w:after="180"/>
      </w:pPr>
      <w:r>
        <w:t>This uses a microscale chemistry technique to observe diffusion as a crystal of copper sulfate dissolves in a drop of water.</w:t>
      </w:r>
    </w:p>
    <w:p w14:paraId="7E501419"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15C3CC69" w14:textId="13858AF3" w:rsidR="006C571F" w:rsidRDefault="006C571F" w:rsidP="006C571F">
      <w:pPr>
        <w:spacing w:after="180"/>
      </w:pPr>
      <w:r w:rsidRPr="002E3B3C">
        <w:t xml:space="preserve">Developed by Helen Harden (UYSEG), from an idea by </w:t>
      </w:r>
      <w:r>
        <w:t xml:space="preserve">Philip Johnson and </w:t>
      </w:r>
      <w:r w:rsidRPr="002E3B3C">
        <w:t>Bob Worley</w:t>
      </w:r>
      <w:r>
        <w:t xml:space="preserve"> (CLEAPSS).</w:t>
      </w:r>
    </w:p>
    <w:p w14:paraId="773B5BE1" w14:textId="77777777" w:rsidR="006C571F" w:rsidRDefault="006C571F" w:rsidP="006C571F">
      <w:pPr>
        <w:spacing w:after="180"/>
      </w:pPr>
      <w:r w:rsidRPr="0045323E">
        <w:t xml:space="preserve">Images: </w:t>
      </w:r>
      <w:r>
        <w:t>Helen Harden</w:t>
      </w:r>
    </w:p>
    <w:p w14:paraId="6D880E54" w14:textId="77777777" w:rsidR="003117F6" w:rsidRPr="00323334" w:rsidRDefault="003117F6" w:rsidP="00026DEC">
      <w:pPr>
        <w:spacing w:after="180"/>
        <w:rPr>
          <w:b/>
          <w:color w:val="E36C0A" w:themeColor="accent6" w:themeShade="BF"/>
          <w:sz w:val="24"/>
        </w:rPr>
      </w:pPr>
      <w:r w:rsidRPr="00323334">
        <w:rPr>
          <w:b/>
          <w:color w:val="E36C0A" w:themeColor="accent6" w:themeShade="BF"/>
          <w:sz w:val="24"/>
        </w:rPr>
        <w:t>References</w:t>
      </w:r>
    </w:p>
    <w:p w14:paraId="0390202E" w14:textId="1F890ED2" w:rsidR="008E3B96" w:rsidRDefault="008E3B96" w:rsidP="008E3B96">
      <w:pPr>
        <w:spacing w:after="180"/>
      </w:pPr>
      <w:r>
        <w:t>Johnstone, A.H.</w:t>
      </w:r>
      <w:r w:rsidR="00AA15DC">
        <w:t xml:space="preserve"> </w:t>
      </w:r>
      <w:r>
        <w:t xml:space="preserve">(1991). Why is chemistry difficult to learn? Things are seldom what they seem. </w:t>
      </w:r>
      <w:r w:rsidRPr="0097764C">
        <w:rPr>
          <w:i/>
        </w:rPr>
        <w:t>Journal of Computer Assisted Learning</w:t>
      </w:r>
      <w:r>
        <w:t>, 7, 75-83</w:t>
      </w:r>
    </w:p>
    <w:p w14:paraId="4B2F4200" w14:textId="6E97B7A4" w:rsidR="008E3B96" w:rsidRDefault="008E3B96" w:rsidP="008E3B96">
      <w:pPr>
        <w:spacing w:after="180"/>
      </w:pPr>
      <w:r>
        <w:t xml:space="preserve">Taber, K.S. (2013). Revisiting the chemistry triplet: drawing upon the nature of chemical knowledge and the psychology of learning to inform chemistry education. </w:t>
      </w:r>
      <w:r w:rsidRPr="006C7260">
        <w:rPr>
          <w:i/>
        </w:rPr>
        <w:t>Chemistry Education Research and Practice</w:t>
      </w:r>
      <w:r>
        <w:t>, 14, 156</w:t>
      </w:r>
    </w:p>
    <w:p w14:paraId="293F0A97" w14:textId="2EAF1B6C" w:rsidR="00AA15DC" w:rsidRDefault="00AA15DC" w:rsidP="00AA15DC">
      <w:pPr>
        <w:widowControl w:val="0"/>
        <w:autoSpaceDE w:val="0"/>
        <w:autoSpaceDN w:val="0"/>
        <w:adjustRightInd w:val="0"/>
        <w:rPr>
          <w:rFonts w:cs="Calibri"/>
          <w:szCs w:val="24"/>
        </w:rPr>
      </w:pPr>
      <w:bookmarkStart w:id="1" w:name="_Hlk516748155"/>
      <w:r w:rsidRPr="009D500B">
        <w:rPr>
          <w:rFonts w:cs="Calibri"/>
          <w:szCs w:val="24"/>
        </w:rPr>
        <w:t xml:space="preserve">Johnson, P. (2012). Introducing particle theory. In Taber, K. (ed.) </w:t>
      </w:r>
      <w:r w:rsidRPr="009D500B">
        <w:rPr>
          <w:rFonts w:cs="Calibri"/>
          <w:i/>
          <w:iCs/>
          <w:szCs w:val="24"/>
        </w:rPr>
        <w:t xml:space="preserve">ASE Science Practice: Teaching Secondary Chemistry. </w:t>
      </w:r>
      <w:r w:rsidRPr="009D500B">
        <w:rPr>
          <w:rFonts w:cs="Calibri"/>
          <w:szCs w:val="24"/>
        </w:rPr>
        <w:t>New edition ed. London: Hodder Education.</w:t>
      </w:r>
      <w:bookmarkEnd w:id="1"/>
    </w:p>
    <w:p w14:paraId="0EBBD800" w14:textId="77777777" w:rsidR="00AA15DC" w:rsidRPr="00AA15DC" w:rsidRDefault="00AA15DC" w:rsidP="00AA15DC">
      <w:pPr>
        <w:widowControl w:val="0"/>
        <w:autoSpaceDE w:val="0"/>
        <w:autoSpaceDN w:val="0"/>
        <w:adjustRightInd w:val="0"/>
        <w:rPr>
          <w:rFonts w:cs="Calibri"/>
          <w:szCs w:val="24"/>
        </w:rPr>
      </w:pPr>
    </w:p>
    <w:p w14:paraId="043B4A3E" w14:textId="69EC4C7B" w:rsidR="008E3B96" w:rsidRDefault="008E3B96" w:rsidP="008E3B96">
      <w:pPr>
        <w:spacing w:after="180"/>
      </w:pPr>
      <w:r>
        <w:t xml:space="preserve">Bob Worley </w:t>
      </w:r>
      <w:hyperlink r:id="rId10" w:history="1">
        <w:r w:rsidRPr="00D05912">
          <w:rPr>
            <w:rStyle w:val="Hyperlink"/>
          </w:rPr>
          <w:t>https://microchemuk.weebly.com/2-blog-is-this-supposed-to-happen/let-the-particles-do-the-work-a-step-back-to-go-forward</w:t>
        </w:r>
      </w:hyperlink>
      <w:r>
        <w:t xml:space="preserve"> </w:t>
      </w:r>
    </w:p>
    <w:p w14:paraId="719BDF19" w14:textId="77777777" w:rsidR="008E3B96" w:rsidRDefault="008E3B96" w:rsidP="008E3B96">
      <w:pPr>
        <w:spacing w:after="180"/>
      </w:pPr>
    </w:p>
    <w:p w14:paraId="076AC54B" w14:textId="77777777" w:rsidR="006C7260" w:rsidRDefault="006C7260" w:rsidP="008E3B96">
      <w:pPr>
        <w:spacing w:after="180"/>
      </w:pPr>
    </w:p>
    <w:sectPr w:rsidR="006C7260"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2888F1" w14:textId="77777777" w:rsidR="00B438D3" w:rsidRDefault="00B438D3" w:rsidP="000B473B">
      <w:r>
        <w:separator/>
      </w:r>
    </w:p>
  </w:endnote>
  <w:endnote w:type="continuationSeparator" w:id="0">
    <w:p w14:paraId="079F5E74" w14:textId="77777777" w:rsidR="00B438D3" w:rsidRDefault="00B438D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21002A87" w:usb1="00000000" w:usb2="00000000"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3DB70"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33251113" wp14:editId="300CD122">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28B15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F6C6B">
      <w:rPr>
        <w:noProof/>
      </w:rPr>
      <w:t>2</w:t>
    </w:r>
    <w:r>
      <w:rPr>
        <w:noProof/>
      </w:rPr>
      <w:fldChar w:fldCharType="end"/>
    </w:r>
  </w:p>
  <w:p w14:paraId="3C760309" w14:textId="77777777" w:rsidR="00201AC2" w:rsidRDefault="00201AC2" w:rsidP="00201AC2">
    <w:pPr>
      <w:pStyle w:val="Footer"/>
      <w:tabs>
        <w:tab w:val="clear" w:pos="4513"/>
        <w:tab w:val="clear" w:pos="9026"/>
        <w:tab w:val="right" w:pos="9072"/>
      </w:tabs>
      <w:rPr>
        <w:sz w:val="16"/>
        <w:szCs w:val="16"/>
      </w:rPr>
    </w:pPr>
    <w:r>
      <w:rPr>
        <w:sz w:val="16"/>
        <w:szCs w:val="16"/>
      </w:rPr>
      <w:t xml:space="preserve">This item may have been edited. Download the original from </w:t>
    </w:r>
    <w:r w:rsidRPr="00ED4562">
      <w:rPr>
        <w:b/>
        <w:sz w:val="16"/>
        <w:szCs w:val="16"/>
      </w:rPr>
      <w:t>www.BestEvidenceScienceTeaching.org</w:t>
    </w:r>
  </w:p>
  <w:p w14:paraId="165F39F7" w14:textId="77777777"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6FCA37" w14:textId="77777777" w:rsidR="00B438D3" w:rsidRDefault="00B438D3" w:rsidP="000B473B">
      <w:r>
        <w:separator/>
      </w:r>
    </w:p>
  </w:footnote>
  <w:footnote w:type="continuationSeparator" w:id="0">
    <w:p w14:paraId="1EA0FE97" w14:textId="77777777" w:rsidR="00B438D3" w:rsidRDefault="00B438D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1D52D"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3A262E8" wp14:editId="57B9223D">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46374B2" wp14:editId="2680B824">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31E3B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8D57C"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76BFC6E9" wp14:editId="363ED660">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23B2F2EC" wp14:editId="231E1D9B">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65286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A65"/>
    <w:rsid w:val="00015578"/>
    <w:rsid w:val="00024731"/>
    <w:rsid w:val="00026DEC"/>
    <w:rsid w:val="00032326"/>
    <w:rsid w:val="000505CA"/>
    <w:rsid w:val="00051CE3"/>
    <w:rsid w:val="0007651D"/>
    <w:rsid w:val="0009089A"/>
    <w:rsid w:val="000947E2"/>
    <w:rsid w:val="00095E04"/>
    <w:rsid w:val="000B473B"/>
    <w:rsid w:val="000D0E89"/>
    <w:rsid w:val="000E2689"/>
    <w:rsid w:val="00142613"/>
    <w:rsid w:val="00144DA7"/>
    <w:rsid w:val="0015356E"/>
    <w:rsid w:val="0015523F"/>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01A6"/>
    <w:rsid w:val="002C22EA"/>
    <w:rsid w:val="002C59BA"/>
    <w:rsid w:val="00301AA9"/>
    <w:rsid w:val="003117F6"/>
    <w:rsid w:val="0031531A"/>
    <w:rsid w:val="00323334"/>
    <w:rsid w:val="00332487"/>
    <w:rsid w:val="003533B8"/>
    <w:rsid w:val="003752BE"/>
    <w:rsid w:val="003A346A"/>
    <w:rsid w:val="003B2917"/>
    <w:rsid w:val="003B541B"/>
    <w:rsid w:val="003D3ED2"/>
    <w:rsid w:val="003E2B2F"/>
    <w:rsid w:val="003E6046"/>
    <w:rsid w:val="003F16F9"/>
    <w:rsid w:val="00430C1F"/>
    <w:rsid w:val="00442595"/>
    <w:rsid w:val="0045323E"/>
    <w:rsid w:val="004B0EE1"/>
    <w:rsid w:val="004C5D20"/>
    <w:rsid w:val="004C658C"/>
    <w:rsid w:val="004D0D83"/>
    <w:rsid w:val="004D122C"/>
    <w:rsid w:val="004E1DF1"/>
    <w:rsid w:val="004E5592"/>
    <w:rsid w:val="004F039C"/>
    <w:rsid w:val="0050055B"/>
    <w:rsid w:val="0051761A"/>
    <w:rsid w:val="00524710"/>
    <w:rsid w:val="00526597"/>
    <w:rsid w:val="00555342"/>
    <w:rsid w:val="005560E2"/>
    <w:rsid w:val="005A452E"/>
    <w:rsid w:val="005A6EE7"/>
    <w:rsid w:val="005F1A7B"/>
    <w:rsid w:val="006355D8"/>
    <w:rsid w:val="00642ECD"/>
    <w:rsid w:val="006502A0"/>
    <w:rsid w:val="006772F5"/>
    <w:rsid w:val="00682D3A"/>
    <w:rsid w:val="00695159"/>
    <w:rsid w:val="006A4440"/>
    <w:rsid w:val="006B0615"/>
    <w:rsid w:val="006B6084"/>
    <w:rsid w:val="006C571F"/>
    <w:rsid w:val="006C7260"/>
    <w:rsid w:val="006D166B"/>
    <w:rsid w:val="006F3279"/>
    <w:rsid w:val="006F6C6B"/>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56FCA"/>
    <w:rsid w:val="008618BC"/>
    <w:rsid w:val="00873B8C"/>
    <w:rsid w:val="00880E3B"/>
    <w:rsid w:val="008A405F"/>
    <w:rsid w:val="008C7F34"/>
    <w:rsid w:val="008E3B96"/>
    <w:rsid w:val="008E580C"/>
    <w:rsid w:val="0090047A"/>
    <w:rsid w:val="00925026"/>
    <w:rsid w:val="00931264"/>
    <w:rsid w:val="00942A4B"/>
    <w:rsid w:val="00961D59"/>
    <w:rsid w:val="0097764C"/>
    <w:rsid w:val="009B2CE4"/>
    <w:rsid w:val="009B2D55"/>
    <w:rsid w:val="009C0343"/>
    <w:rsid w:val="009E0D11"/>
    <w:rsid w:val="00A24A16"/>
    <w:rsid w:val="00A37D14"/>
    <w:rsid w:val="00A56FE7"/>
    <w:rsid w:val="00A6111E"/>
    <w:rsid w:val="00A6168B"/>
    <w:rsid w:val="00A62028"/>
    <w:rsid w:val="00AA15DC"/>
    <w:rsid w:val="00AA6236"/>
    <w:rsid w:val="00AB6AE7"/>
    <w:rsid w:val="00AD21F5"/>
    <w:rsid w:val="00B06225"/>
    <w:rsid w:val="00B23C7A"/>
    <w:rsid w:val="00B305F5"/>
    <w:rsid w:val="00B438D3"/>
    <w:rsid w:val="00B46FF9"/>
    <w:rsid w:val="00B47E1D"/>
    <w:rsid w:val="00B75483"/>
    <w:rsid w:val="00BA7952"/>
    <w:rsid w:val="00BB44B4"/>
    <w:rsid w:val="00BF0BBF"/>
    <w:rsid w:val="00BF6C8A"/>
    <w:rsid w:val="00C05571"/>
    <w:rsid w:val="00C246CE"/>
    <w:rsid w:val="00C42192"/>
    <w:rsid w:val="00C50C43"/>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2A65"/>
    <w:rsid w:val="00DD63BD"/>
    <w:rsid w:val="00DF05DB"/>
    <w:rsid w:val="00DF7E20"/>
    <w:rsid w:val="00E1480D"/>
    <w:rsid w:val="00E172C6"/>
    <w:rsid w:val="00E24309"/>
    <w:rsid w:val="00E521B3"/>
    <w:rsid w:val="00E53D82"/>
    <w:rsid w:val="00E9330A"/>
    <w:rsid w:val="00EE6B97"/>
    <w:rsid w:val="00F12C3B"/>
    <w:rsid w:val="00F23D93"/>
    <w:rsid w:val="00F26884"/>
    <w:rsid w:val="00F72ECC"/>
    <w:rsid w:val="00F8355F"/>
    <w:rsid w:val="00FA062A"/>
    <w:rsid w:val="00FA3196"/>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5F8416"/>
  <w15:docId w15:val="{CC0C576F-BBDB-4326-9B6D-400D6451E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character" w:styleId="Hyperlink">
    <w:name w:val="Hyperlink"/>
    <w:basedOn w:val="DefaultParagraphFont"/>
    <w:uiPriority w:val="99"/>
    <w:unhideWhenUsed/>
    <w:rsid w:val="008E3B9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9651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microchemuk.weebly.com/2-blog-is-this-supposed-to-happen/let-the-particles-do-the-work-a-step-back-to-go-forward" TargetMode="Externa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template_chemistry_item_diagnostic_solution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template_chemistry_item_diagnostic_solutions</Template>
  <TotalTime>30</TotalTime>
  <Pages>3</Pages>
  <Words>585</Words>
  <Characters>3337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8</cp:revision>
  <cp:lastPrinted>2017-02-24T16:20:00Z</cp:lastPrinted>
  <dcterms:created xsi:type="dcterms:W3CDTF">2018-03-28T16:05:00Z</dcterms:created>
  <dcterms:modified xsi:type="dcterms:W3CDTF">2018-06-15T13:01:00Z</dcterms:modified>
</cp:coreProperties>
</file>